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b/>
          <w:sz w:val="36"/>
        </w:rPr>
        <w:t>PROCÈS-VERBAL DE LIVRAISON ET DE RECETTE</w:t>
      </w:r>
    </w:p>
    <w:p>
      <w:pPr>
        <w:pStyle w:val="BodyText"/>
        <w:jc w:val="center"/>
        <w:rPr>
          <w:b/>
          <w:sz w:val="28"/>
        </w:rPr>
      </w:pPr>
      <w:r>
        <w:rPr>
          <w:rStyle w:val="Strong"/>
          <w:sz w:val="28"/>
        </w:rPr>
        <w:t>Étape 3 — Installation Client Windows 11 et Lab</w:t>
      </w:r>
    </w:p>
    <w:p>
      <w:pPr>
        <w:pStyle w:val="Normal"/>
        <w:jc w:val="center"/>
        <w:rPr/>
      </w:pPr>
      <w:r>
        <w:rPr>
          <w:i/>
        </w:rPr>
        <w:t>Infrastructure Windows en environnement virtualisé</w:t>
      </w:r>
    </w:p>
    <w:p>
      <w:pPr>
        <w:pStyle w:val="Heading1"/>
        <w:rPr/>
      </w:pPr>
      <w:r>
        <w:rPr/>
        <w:t>1. Identification du livrable</w:t>
      </w:r>
    </w:p>
    <w:tbl>
      <w:tblPr>
        <w:tblStyle w:val="TableGrid"/>
        <w:tblW w:w="99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86"/>
        <w:gridCol w:w="4985"/>
      </w:tblGrid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Élément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Information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Projet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Infrastructure Windows Server 2025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Étape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3 — Installation Client Windows 11 et Lab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Nom / Prénom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Groupe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Date de livraison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Enseignant / évaluateur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</w:tbl>
    <w:p>
      <w:pPr>
        <w:pStyle w:val="Heading1"/>
        <w:rPr/>
      </w:pPr>
      <w:r>
        <w:rPr/>
        <w:t>2. Objet du procès-verbal</w:t>
      </w:r>
    </w:p>
    <w:p>
      <w:pPr>
        <w:pStyle w:val="BodyText"/>
        <w:spacing w:before="0" w:after="200"/>
        <w:rPr/>
      </w:pPr>
      <w:r>
        <w:rPr/>
        <w:t>Le présent procès-verbal formalise la livraison et la recette de l’étape 3 du projet. Il constitue le document de référence permettant de vérifier que :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0" w:leader="none"/>
        </w:tabs>
        <w:spacing w:before="0" w:after="200"/>
        <w:ind w:hanging="283" w:left="709"/>
        <w:rPr/>
      </w:pPr>
      <w:r>
        <w:rPr/>
        <w:t>Une machine virtuelle cliente Windows 11 a été créée et installée.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0" w:leader="none"/>
        </w:tabs>
        <w:spacing w:before="0" w:after="200"/>
        <w:ind w:hanging="283" w:left="709"/>
        <w:rPr/>
      </w:pPr>
      <w:r>
        <w:rPr/>
        <w:t>La connexion Internet obligatoire lors de l’OOBE a été contournée.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0" w:leader="none"/>
        </w:tabs>
        <w:spacing w:before="0" w:after="200"/>
        <w:ind w:hanging="283" w:left="709"/>
        <w:rPr/>
      </w:pPr>
      <w:r>
        <w:rPr/>
        <w:t>Le réseau interne (commutateur virtuel) reliant le client et le serveur a été créé et configuré.</w:t>
      </w:r>
    </w:p>
    <w:p>
      <w:pPr>
        <w:pStyle w:val="BodyText"/>
        <w:numPr>
          <w:ilvl w:val="0"/>
          <w:numId w:val="7"/>
        </w:numPr>
        <w:tabs>
          <w:tab w:val="clear" w:pos="720"/>
          <w:tab w:val="left" w:pos="0" w:leader="none"/>
        </w:tabs>
        <w:spacing w:before="0" w:after="200"/>
        <w:ind w:hanging="283" w:left="709"/>
        <w:rPr/>
      </w:pPr>
      <w:r>
        <w:rPr/>
        <w:t>La connectivité entre le client Windows 11 et le serveur Windows Server 2025 a été vérifiée.</w:t>
      </w:r>
    </w:p>
    <w:p>
      <w:pPr>
        <w:pStyle w:val="BodyText"/>
        <w:spacing w:before="0" w:after="200"/>
        <w:rPr/>
      </w:pPr>
      <w:r>
        <w:rPr/>
        <w:t>Le livrable doit permettre à un tiers de constater, à partir des éléments fournis, que les exigences de l’étape sont satisfaites.</w:t>
      </w:r>
    </w:p>
    <w:p>
      <w:pPr>
        <w:pStyle w:val="Heading1"/>
        <w:rPr/>
      </w:pPr>
      <w:r>
        <w:rPr/>
        <w:t>3. Périmètre de la recette</w:t>
      </w:r>
    </w:p>
    <w:tbl>
      <w:tblPr>
        <w:tblStyle w:val="TableGrid"/>
        <w:tblW w:w="997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288"/>
        <w:gridCol w:w="6242"/>
        <w:gridCol w:w="2445"/>
      </w:tblGrid>
      <w:tr>
        <w:trPr/>
        <w:tc>
          <w:tcPr>
            <w:tcW w:w="128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Référence</w:t>
            </w:r>
          </w:p>
        </w:tc>
        <w:tc>
          <w:tcPr>
            <w:tcW w:w="62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Exigence de l’étape</w:t>
            </w:r>
          </w:p>
        </w:tc>
        <w:tc>
          <w:tcPr>
            <w:tcW w:w="24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Statut</w:t>
            </w:r>
          </w:p>
        </w:tc>
      </w:tr>
      <w:tr>
        <w:trPr/>
        <w:tc>
          <w:tcPr>
            <w:tcW w:w="1288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R1</w:t>
            </w:r>
          </w:p>
        </w:tc>
        <w:tc>
          <w:tcPr>
            <w:tcW w:w="6242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Machine virtuelle cliente Windows 11 créée sous VirtualBox</w:t>
            </w:r>
          </w:p>
        </w:tc>
        <w:tc>
          <w:tcPr>
            <w:tcW w:w="2445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288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R2</w:t>
            </w:r>
          </w:p>
        </w:tc>
        <w:tc>
          <w:tcPr>
            <w:tcW w:w="6242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Windows 11 installé et démarré correctement</w:t>
            </w:r>
          </w:p>
        </w:tc>
        <w:tc>
          <w:tcPr>
            <w:tcW w:w="2445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288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R3</w:t>
            </w:r>
          </w:p>
        </w:tc>
        <w:tc>
          <w:tcPr>
            <w:tcW w:w="6242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Contournement de la connexion Internet obligatoire (OOBE bypass)</w:t>
            </w:r>
          </w:p>
        </w:tc>
        <w:tc>
          <w:tcPr>
            <w:tcW w:w="2445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288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R4</w:t>
            </w:r>
          </w:p>
        </w:tc>
        <w:tc>
          <w:tcPr>
            <w:tcW w:w="6242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Création du commutateur virtuel / réseau interne</w:t>
            </w:r>
          </w:p>
        </w:tc>
        <w:tc>
          <w:tcPr>
            <w:tcW w:w="2445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288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R5</w:t>
            </w:r>
          </w:p>
        </w:tc>
        <w:tc>
          <w:tcPr>
            <w:tcW w:w="6242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Rattachement du client et du serveur au même réseau interne</w:t>
            </w:r>
          </w:p>
        </w:tc>
        <w:tc>
          <w:tcPr>
            <w:tcW w:w="2445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288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R6</w:t>
            </w:r>
          </w:p>
        </w:tc>
        <w:tc>
          <w:tcPr>
            <w:tcW w:w="6242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 xml:space="preserve">Vérification de la connectivité réseau entre le client et le serveur </w:t>
            </w:r>
          </w:p>
        </w:tc>
        <w:tc>
          <w:tcPr>
            <w:tcW w:w="2445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288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R7</w:t>
            </w:r>
          </w:p>
        </w:tc>
        <w:tc>
          <w:tcPr>
            <w:tcW w:w="6242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Preuves visuelles de chaque étape (captures d’écran)</w:t>
            </w:r>
          </w:p>
        </w:tc>
        <w:tc>
          <w:tcPr>
            <w:tcW w:w="2445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</w:tbl>
    <w:p>
      <w:pPr>
        <w:pStyle w:val="Heading1"/>
        <w:rPr/>
      </w:pPr>
      <w:r>
        <w:rPr/>
        <w:t>4. Configuration de la machine virtuelle livrée</w:t>
      </w:r>
    </w:p>
    <w:tbl>
      <w:tblPr>
        <w:tblStyle w:val="TableGrid"/>
        <w:tblW w:w="99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86"/>
        <w:gridCol w:w="4985"/>
      </w:tblGrid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Paramètre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Valeur constatée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Nom de la VM (</w:t>
            </w: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client</w:t>
            </w: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)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Édition / version Windows 11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Mémoire RAM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>
              <w:top w:val="nil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/>
              <w:t>Nombre de CPU</w:t>
            </w:r>
          </w:p>
        </w:tc>
        <w:tc>
          <w:tcPr>
            <w:tcW w:w="498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 xml:space="preserve">Contrôleur de stockage </w:t>
            </w:r>
          </w:p>
        </w:tc>
        <w:tc>
          <w:tcPr>
            <w:tcW w:w="498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 xml:space="preserve">Carte réseau </w:t>
            </w:r>
          </w:p>
        </w:tc>
        <w:tc>
          <w:tcPr>
            <w:tcW w:w="498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>
              <w:top w:val="nil"/>
            </w:tcBorders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Mode réseau / commutateur virtuel</w:t>
            </w:r>
          </w:p>
        </w:tc>
        <w:tc>
          <w:tcPr>
            <w:tcW w:w="498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Adresse IP (client, si configurée)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Adresse IP (serveur, pour rappel)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>
          <w:trHeight w:val="195" w:hRule="atLeast"/>
        </w:trPr>
        <w:tc>
          <w:tcPr>
            <w:tcW w:w="4986" w:type="dxa"/>
            <w:tcBorders/>
            <w:vAlign w:val="center"/>
          </w:tcPr>
          <w:p>
            <w:pPr>
              <w:pStyle w:val="BodyText"/>
              <w:suppressAutoHyphens w:val="true"/>
              <w:spacing w:lineRule="auto" w:line="240" w:before="0" w:after="0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Version de VirtualBox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</w:tbl>
    <w:p>
      <w:pPr>
        <w:pStyle w:val="Heading1"/>
        <w:rPr/>
      </w:pPr>
      <w:r>
        <w:rPr/>
        <w:t>5. Preuves de livraison</w:t>
      </w:r>
    </w:p>
    <w:p>
      <w:pPr>
        <w:pStyle w:val="Normal"/>
        <w:rPr/>
      </w:pPr>
      <w:r>
        <w:rPr/>
        <w:t>Les emplacements ci-dessous sont réservés aux captures d’écran justificatives. Chaque capture doit être lisible et permettre d’identifier l’élément contrôlé.</w:t>
      </w:r>
    </w:p>
    <w:p>
      <w:pPr>
        <w:pStyle w:val="Heading2"/>
        <w:rPr/>
      </w:pPr>
      <w:r>
        <w:rPr/>
        <w:t xml:space="preserve">5.1 </w:t>
      </w:r>
      <w:r>
        <w:rPr/>
        <w:t>Création de la VM Windows 11</w:t>
      </w:r>
    </w:p>
    <w:p>
      <w:pPr>
        <w:pStyle w:val="BodyText"/>
        <w:spacing w:before="0" w:after="200"/>
        <w:rPr/>
      </w:pPr>
      <w:r>
        <w:rPr/>
        <w:t>Vue de la configuration matérielle de la machine virtuelle cliente.</w:t>
      </w:r>
    </w:p>
    <w:tbl>
      <w:tblPr>
        <w:tblStyle w:val="TableGrid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Heading2"/>
        <w:rPr/>
      </w:pPr>
      <w:r>
        <w:rPr/>
        <w:t xml:space="preserve">5.2 </w:t>
      </w:r>
      <w:r>
        <w:rPr/>
        <w:t>Installation de Windows 11</w:t>
      </w:r>
    </w:p>
    <w:p>
      <w:pPr>
        <w:pStyle w:val="BodyText"/>
        <w:spacing w:before="0" w:after="200"/>
        <w:rPr/>
      </w:pPr>
      <w:r>
        <w:rPr/>
        <w:t>Écran permettant d’identifier le système installé et son démarrage fonctionnel.</w:t>
      </w:r>
    </w:p>
    <w:tbl>
      <w:tblPr>
        <w:tblStyle w:val="TableGrid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Heading2"/>
        <w:rPr/>
      </w:pPr>
      <w:r>
        <w:rPr/>
        <w:t xml:space="preserve">5.3 </w:t>
      </w:r>
      <w:r>
        <w:rPr/>
        <w:t>Contournement de la connexion Internet (OOBE bypass)</w:t>
      </w:r>
    </w:p>
    <w:p>
      <w:pPr>
        <w:pStyle w:val="BodyText"/>
        <w:spacing w:before="0" w:after="200"/>
        <w:rPr/>
      </w:pPr>
      <w:r>
        <w:rPr/>
        <w:t>Preuve de la sortie de l’écran de connexion Internet obligatoire sans réseau actif.</w:t>
      </w:r>
    </w:p>
    <w:tbl>
      <w:tblPr>
        <w:tblStyle w:val="TableGrid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Heading2"/>
        <w:rPr/>
      </w:pPr>
      <w:r>
        <w:rPr/>
        <w:t xml:space="preserve">5.4 </w:t>
      </w:r>
      <w:r>
        <w:rPr/>
        <w:t>Création du commutateur virtual / réseau interne</w:t>
      </w:r>
    </w:p>
    <w:p>
      <w:pPr>
        <w:pStyle w:val="BodyText"/>
        <w:spacing w:before="0" w:after="200"/>
        <w:rPr/>
      </w:pPr>
      <w:r>
        <w:rPr/>
        <w:t>Vue permettant d’identifier le réseau interne ou le commutateur virtuel créé sous VirtualBox.</w:t>
      </w:r>
    </w:p>
    <w:tbl>
      <w:tblPr>
        <w:tblStyle w:val="TableGrid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Heading2"/>
        <w:rPr/>
      </w:pPr>
      <w:r>
        <w:rPr/>
        <w:t xml:space="preserve">5.5 Test de connectivité </w:t>
      </w:r>
      <w:r>
        <w:rPr/>
        <w:t>client-serveur</w:t>
      </w:r>
    </w:p>
    <w:p>
      <w:pPr>
        <w:pStyle w:val="BodyText"/>
        <w:spacing w:before="0" w:after="200"/>
        <w:rPr/>
      </w:pPr>
      <w:r>
        <w:rPr/>
        <w:t>Preuve de la connectivité entre le client Windows 11 et le serveur Windows Server 2025 (ping bidirectionnel).</w:t>
      </w:r>
    </w:p>
    <w:tbl>
      <w:tblPr>
        <w:tblStyle w:val="TableGrid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p>
      <w:pPr>
        <w:pStyle w:val="Heading1"/>
        <w:spacing w:before="0" w:after="0"/>
        <w:rPr/>
      </w:pPr>
      <w:r>
        <w:rPr/>
        <w:t>6. Résultats de la recette</w:t>
      </w:r>
    </w:p>
    <w:tbl>
      <w:tblPr>
        <w:tblStyle w:val="TableGrid"/>
        <w:tblW w:w="99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324"/>
        <w:gridCol w:w="3324"/>
        <w:gridCol w:w="3324"/>
      </w:tblGrid>
      <w:tr>
        <w:trPr/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Contrôle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Résultat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Conforme</w:t>
            </w:r>
          </w:p>
        </w:tc>
      </w:tr>
      <w:tr>
        <w:trPr/>
        <w:tc>
          <w:tcPr>
            <w:tcW w:w="3324" w:type="dxa"/>
            <w:tcBorders/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>Création de la VM cliente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  <w:t xml:space="preserve">☐ </w:t>
            </w:r>
            <w:r>
              <w:rPr/>
              <w:t>Oui ☐ Non</w:t>
            </w:r>
          </w:p>
        </w:tc>
      </w:tr>
      <w:tr>
        <w:trPr/>
        <w:tc>
          <w:tcPr>
            <w:tcW w:w="3324" w:type="dxa"/>
            <w:tcBorders/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>Installation Windows 11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  <w:t xml:space="preserve">☐ </w:t>
            </w:r>
            <w:r>
              <w:rPr/>
              <w:t>Oui ☐ Non</w:t>
            </w:r>
          </w:p>
        </w:tc>
      </w:tr>
      <w:tr>
        <w:trPr/>
        <w:tc>
          <w:tcPr>
            <w:tcW w:w="3324" w:type="dxa"/>
            <w:tcBorders/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>Bypass OOBE Internet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  <w:t xml:space="preserve">☐ </w:t>
            </w:r>
            <w:r>
              <w:rPr/>
              <w:t>Oui ☐ Non</w:t>
            </w:r>
          </w:p>
        </w:tc>
      </w:tr>
      <w:tr>
        <w:trPr/>
        <w:tc>
          <w:tcPr>
            <w:tcW w:w="3324" w:type="dxa"/>
            <w:tcBorders/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>Configuration du réseau interne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  <w:t xml:space="preserve">☐ </w:t>
            </w:r>
            <w:r>
              <w:rPr/>
              <w:t>Oui ☐ Non</w:t>
            </w:r>
          </w:p>
        </w:tc>
      </w:tr>
      <w:tr>
        <w:trPr/>
        <w:tc>
          <w:tcPr>
            <w:tcW w:w="3324" w:type="dxa"/>
            <w:tcBorders/>
            <w:vAlign w:val="center"/>
          </w:tcPr>
          <w:p>
            <w:pPr>
              <w:pStyle w:val="BodyText"/>
              <w:suppressAutoHyphens w:val="true"/>
              <w:spacing w:before="0" w:after="200"/>
              <w:rPr/>
            </w:pPr>
            <w:r>
              <w:rPr/>
              <w:t>Connectivité client-serveur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suppressAutoHyphens w:val="true"/>
              <w:spacing w:before="0" w:after="200"/>
              <w:rPr/>
            </w:pPr>
            <w:r>
              <w:rPr/>
              <w:t xml:space="preserve">☐ </w:t>
            </w:r>
            <w:r>
              <w:rPr/>
              <w:t>Oui ☐ Non</w:t>
            </w:r>
          </w:p>
        </w:tc>
      </w:tr>
    </w:tbl>
    <w:p>
      <w:pPr>
        <w:pStyle w:val="Heading1"/>
        <w:rPr/>
      </w:pPr>
      <w:r>
        <w:rPr/>
        <w:t>7. Anomalies et réserves</w:t>
      </w:r>
    </w:p>
    <w:p>
      <w:pPr>
        <w:pStyle w:val="Normal"/>
        <w:rPr/>
      </w:pPr>
      <w:r>
        <w:rPr/>
        <w:t>Anomalies constatées lors de la recette :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  <w:t>Réserves éventuelles :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</w:t>
      </w:r>
    </w:p>
    <w:p>
      <w:pPr>
        <w:pStyle w:val="Heading1"/>
        <w:rPr/>
      </w:pPr>
      <w:r>
        <w:rPr/>
        <w:t>8. Décision de recette</w:t>
      </w:r>
    </w:p>
    <w:p>
      <w:pPr>
        <w:pStyle w:val="Normal"/>
        <w:rPr/>
      </w:pPr>
      <w:r>
        <w:rPr/>
        <w:t xml:space="preserve">Au vu des contrôles et des éléments de preuve présentés, la livraison de l’étape </w:t>
      </w:r>
      <w:r>
        <w:rPr/>
        <w:t>3</w:t>
      </w:r>
      <w:r>
        <w:rPr/>
        <w:t xml:space="preserve"> est :</w:t>
      </w:r>
    </w:p>
    <w:tbl>
      <w:tblPr>
        <w:tblStyle w:val="TableGrid"/>
        <w:tblW w:w="99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86"/>
        <w:gridCol w:w="4985"/>
      </w:tblGrid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Décision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Sélection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RECETTE ACCEPTÉE — conforme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☐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RECETTE ACCEPTÉE AVEC RÉSERVES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☐</w:t>
            </w:r>
          </w:p>
        </w:tc>
      </w:tr>
      <w:tr>
        <w:trPr/>
        <w:tc>
          <w:tcPr>
            <w:tcW w:w="4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RECETTE REFUSÉE — corrections nécessaires</w:t>
            </w:r>
          </w:p>
        </w:tc>
        <w:tc>
          <w:tcPr>
            <w:tcW w:w="4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☐</w:t>
            </w:r>
          </w:p>
        </w:tc>
      </w:tr>
    </w:tbl>
    <w:p>
      <w:pPr>
        <w:pStyle w:val="Heading1"/>
        <w:rPr/>
      </w:pPr>
      <w:r>
        <w:rPr/>
        <w:t>9. Validation</w:t>
      </w:r>
    </w:p>
    <w:tbl>
      <w:tblPr>
        <w:tblStyle w:val="TableGrid"/>
        <w:tblW w:w="99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324"/>
        <w:gridCol w:w="3324"/>
        <w:gridCol w:w="3324"/>
      </w:tblGrid>
      <w:tr>
        <w:trPr/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Rôle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Nom / Signature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en-US" w:eastAsia="en-US" w:bidi="ar-SA"/>
              </w:rPr>
              <w:t>Date</w:t>
            </w:r>
          </w:p>
        </w:tc>
      </w:tr>
      <w:tr>
        <w:trPr/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Étudiant / groupe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Enseignant / évaluateur</w:t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33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before="0" w:after="200"/>
        <w:jc w:val="center"/>
        <w:rPr/>
      </w:pPr>
      <w:r>
        <w:rPr>
          <w:i/>
        </w:rPr>
        <w:t>Document remis au format PDF après complétion et insertion des éléments de preuve.</w:t>
      </w:r>
    </w:p>
    <w:sectPr>
      <w:type w:val="nextPage"/>
      <w:pgSz w:w="12240" w:h="15840"/>
      <w:pgMar w:left="1134" w:right="1134" w:gutter="0" w:header="0" w:top="1020" w:footer="0" w:bottom="10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left"/>
    </w:pPr>
    <w:rPr>
      <w:rFonts w:ascii="Arial" w:hAnsi="Arial" w:eastAsia="" w:cs="" w:cstheme="minorBidi" w:eastAsiaTheme="minorEastAsia"/>
      <w:color w:val="auto"/>
      <w:kern w:val="0"/>
      <w:sz w:val="20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4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Application>LibreOffice/25.2.3.2$Linux_X86_64 LibreOffice_project/520$Build-2</Application>
  <AppVersion>15.0000</AppVersion>
  <Pages>4</Pages>
  <Words>556</Words>
  <Characters>3588</Characters>
  <CharactersWithSpaces>4071</CharactersWithSpaces>
  <Paragraphs>111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fr-FR</dc:language>
  <cp:lastModifiedBy/>
  <dcterms:modified xsi:type="dcterms:W3CDTF">2026-09-10T09:51:26Z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